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hiftAlt"/>
        <w:spacing w:lineRule="auto" w:line="276"/>
        <w:ind w:firstLine="426"/>
        <w:jc w:val="center"/>
        <w:rPr>
          <w:rFonts w:cs="Times New Roman"/>
          <w:b/>
          <w:bCs/>
          <w:sz w:val="32"/>
          <w:szCs w:val="24"/>
        </w:rPr>
      </w:pPr>
      <w:r>
        <w:rPr>
          <w:rFonts w:cs="Times New Roman"/>
          <w:b/>
          <w:bCs/>
          <w:sz w:val="32"/>
          <w:szCs w:val="24"/>
        </w:rPr>
        <w:t>НАЦІОНАЛЬНИЙ ДЕНДРОЛОГІЧНИЙ ПАРК «СОФІЇВКА» НАЦІОНАЛЬНОЇ АКАДЕМІЇ НАУК УКРАЇНИ</w:t>
      </w:r>
    </w:p>
    <w:p>
      <w:pPr>
        <w:pStyle w:val="ShiftAlt"/>
        <w:spacing w:lineRule="auto" w:line="240"/>
        <w:ind w:firstLine="720"/>
        <w:jc w:val="center"/>
        <w:rPr>
          <w:rFonts w:cs="Times New Roman"/>
          <w:b/>
          <w:bCs/>
          <w:szCs w:val="24"/>
        </w:rPr>
      </w:pPr>
      <w:r>
        <w:rPr>
          <w:rFonts w:cs="Times New Roman"/>
          <w:b/>
          <w:bCs/>
          <w:szCs w:val="24"/>
        </w:rPr>
        <w:t>(НДП «Софіївка» НАН України»)</w:t>
      </w:r>
    </w:p>
    <w:p>
      <w:pPr>
        <w:pStyle w:val="Normal"/>
        <w:spacing w:lineRule="auto" w:line="240" w:before="0" w:after="0"/>
        <w:jc w:val="center"/>
        <w:rPr>
          <w:rFonts w:ascii="Times New Roman" w:hAnsi="Times New Roman" w:eastAsia="Times New Roman"/>
          <w:b/>
          <w:i/>
          <w:i/>
          <w:sz w:val="20"/>
          <w:szCs w:val="20"/>
        </w:rPr>
      </w:pPr>
      <w:r>
        <w:rPr>
          <w:rFonts w:eastAsia="Times New Roman" w:ascii="Times New Roman" w:hAnsi="Times New Roman"/>
          <w:b/>
          <w:i/>
          <w:sz w:val="20"/>
          <w:szCs w:val="20"/>
        </w:rPr>
      </w:r>
    </w:p>
    <w:p>
      <w:pPr>
        <w:pStyle w:val="Normal"/>
        <w:spacing w:lineRule="auto" w:line="240" w:before="0" w:after="0"/>
        <w:jc w:val="both"/>
        <w:rPr>
          <w:rFonts w:ascii="Times New Roman" w:hAnsi="Times New Roman"/>
          <w:i/>
          <w:i/>
          <w:sz w:val="20"/>
          <w:szCs w:val="20"/>
        </w:rPr>
      </w:pPr>
      <w:r>
        <w:rPr>
          <w:rFonts w:ascii="Times New Roman" w:hAnsi="Times New Roman"/>
          <w:i/>
          <w:sz w:val="20"/>
          <w:szCs w:val="20"/>
        </w:rPr>
      </w:r>
    </w:p>
    <w:p>
      <w:pPr>
        <w:pStyle w:val="Normal"/>
        <w:spacing w:lineRule="auto" w:line="240" w:before="0" w:after="0"/>
        <w:jc w:val="center"/>
        <w:rPr>
          <w:rFonts w:ascii="Times New Roman" w:hAnsi="Times New Roman"/>
          <w:b/>
          <w:i/>
          <w:i/>
          <w:sz w:val="24"/>
          <w:szCs w:val="24"/>
        </w:rPr>
      </w:pPr>
      <w:r>
        <w:rPr>
          <w:rFonts w:ascii="Times New Roman" w:hAnsi="Times New Roman"/>
          <w:b/>
          <w:i/>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spacing w:lineRule="auto" w:line="240" w:before="0" w:after="0"/>
        <w:ind w:firstLine="567" w:left="-567"/>
        <w:jc w:val="center"/>
        <w:rPr>
          <w:rFonts w:ascii="Times New Roman" w:hAnsi="Times New Roman"/>
          <w:i/>
          <w:i/>
          <w:sz w:val="20"/>
          <w:szCs w:val="20"/>
        </w:rPr>
      </w:pPr>
      <w:r>
        <w:rPr>
          <w:rFonts w:ascii="Times New Roman" w:hAnsi="Times New Roman"/>
          <w:i/>
          <w:sz w:val="20"/>
          <w:szCs w:val="20"/>
        </w:rPr>
        <w:t>(відповідно до пункту 4</w:t>
      </w:r>
      <w:r>
        <w:rPr>
          <w:rFonts w:ascii="Times New Roman" w:hAnsi="Times New Roman"/>
          <w:i/>
          <w:sz w:val="20"/>
          <w:szCs w:val="20"/>
          <w:vertAlign w:val="superscript"/>
        </w:rPr>
        <w:t xml:space="preserve">1 </w:t>
      </w:r>
      <w:r>
        <w:rPr>
          <w:rFonts w:ascii="Times New Roman" w:hAnsi="Times New Roman"/>
          <w:i/>
          <w:sz w:val="20"/>
          <w:szCs w:val="20"/>
        </w:rPr>
        <w:t>постанови КМУ від 11.10.2016 № 710 «Про ефективне використання державних коштів» (зі змінами))</w:t>
      </w:r>
    </w:p>
    <w:p>
      <w:pPr>
        <w:pStyle w:val="Normal"/>
        <w:spacing w:lineRule="auto" w:line="240" w:before="0" w:after="0"/>
        <w:ind w:firstLine="567" w:left="-567"/>
        <w:jc w:val="center"/>
        <w:rPr>
          <w:rFonts w:ascii="Times New Roman" w:hAnsi="Times New Roman"/>
          <w:i/>
          <w:i/>
          <w:sz w:val="20"/>
          <w:szCs w:val="20"/>
        </w:rPr>
      </w:pPr>
      <w:r>
        <w:rPr>
          <w:rFonts w:ascii="Times New Roman" w:hAnsi="Times New Roman"/>
          <w:i/>
          <w:sz w:val="20"/>
          <w:szCs w:val="20"/>
        </w:rPr>
      </w:r>
    </w:p>
    <w:p>
      <w:pPr>
        <w:pStyle w:val="ListParagraph"/>
        <w:numPr>
          <w:ilvl w:val="0"/>
          <w:numId w:val="1"/>
        </w:numPr>
        <w:ind w:firstLine="142" w:left="-426"/>
        <w:jc w:val="both"/>
        <w:rPr>
          <w:i/>
          <w:i/>
          <w:sz w:val="20"/>
          <w:szCs w:val="20"/>
          <w:lang w:val="uk-UA"/>
        </w:rPr>
      </w:pPr>
      <w:r>
        <w:rPr>
          <w:b/>
          <w:i/>
          <w:sz w:val="20"/>
          <w:szCs w:val="20"/>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i/>
          <w:sz w:val="20"/>
          <w:szCs w:val="20"/>
          <w:lang w:val="uk-UA"/>
        </w:rPr>
        <w:t>НАЦІОНАЛЬНИЙ ДЕНДРОЛОГІЧНИЙ ПАРК «СОФІЇВКА» НАЦІОНАЛЬНОЇ АКАДЕМІЇ НАУК УКРАЇНИ; 20300, Черкаська  область, місто Умань, вулиця Київська , будинок 12; код за ЄДРПОУ — 03534653; категорія замовника — Юридична особа, яка забезпечує потреби держави або територіальної громади</w:t>
      </w:r>
    </w:p>
    <w:p>
      <w:pPr>
        <w:pStyle w:val="ListParagraph"/>
        <w:ind w:left="-284"/>
        <w:jc w:val="both"/>
        <w:rPr>
          <w:i/>
          <w:i/>
          <w:sz w:val="20"/>
          <w:szCs w:val="20"/>
          <w:lang w:val="uk-UA"/>
        </w:rPr>
      </w:pPr>
      <w:r>
        <w:rPr>
          <w:i/>
          <w:sz w:val="20"/>
          <w:szCs w:val="20"/>
          <w:lang w:val="uk-UA"/>
        </w:rPr>
      </w:r>
    </w:p>
    <w:p>
      <w:pPr>
        <w:pStyle w:val="ListParagraph"/>
        <w:numPr>
          <w:ilvl w:val="0"/>
          <w:numId w:val="1"/>
        </w:numPr>
        <w:spacing w:before="280" w:after="280"/>
        <w:ind w:firstLine="142" w:left="-426"/>
        <w:contextualSpacing/>
        <w:jc w:val="both"/>
        <w:rPr>
          <w:b/>
          <w:i/>
          <w:i/>
          <w:color w:val="000000"/>
          <w:sz w:val="20"/>
          <w:szCs w:val="20"/>
        </w:rPr>
      </w:pPr>
      <w:r>
        <w:rPr>
          <w:b/>
          <w:i/>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i/>
          <w:sz w:val="20"/>
          <w:szCs w:val="20"/>
        </w:rPr>
        <w:t xml:space="preserve"> </w:t>
      </w:r>
      <w:r>
        <w:rPr>
          <w:i/>
          <w:color w:val="000000"/>
          <w:sz w:val="20"/>
          <w:szCs w:val="20"/>
        </w:rPr>
        <w:t xml:space="preserve">Послуга з розподілу електричної енергії, код </w:t>
      </w:r>
      <w:r>
        <w:rPr>
          <w:i/>
          <w:sz w:val="20"/>
          <w:szCs w:val="20"/>
        </w:rPr>
        <w:t xml:space="preserve">за </w:t>
      </w:r>
      <w:r>
        <w:rPr>
          <w:bCs/>
          <w:i/>
          <w:sz w:val="20"/>
          <w:szCs w:val="20"/>
        </w:rPr>
        <w:t xml:space="preserve">ДК 021:2015 </w:t>
      </w:r>
      <w:r>
        <w:rPr>
          <w:i/>
          <w:color w:val="000000"/>
          <w:sz w:val="20"/>
          <w:szCs w:val="20"/>
        </w:rPr>
        <w:t xml:space="preserve"> — 65310000-9 «Розподіл електричної енергії».</w:t>
      </w:r>
    </w:p>
    <w:p>
      <w:pPr>
        <w:pStyle w:val="ListParagraph"/>
        <w:rPr>
          <w:b/>
          <w:i/>
          <w:i/>
          <w:color w:val="000000"/>
          <w:sz w:val="20"/>
          <w:szCs w:val="20"/>
        </w:rPr>
      </w:pPr>
      <w:r>
        <w:rPr>
          <w:b/>
          <w:i/>
          <w:color w:val="000000"/>
          <w:sz w:val="20"/>
          <w:szCs w:val="20"/>
        </w:rPr>
      </w:r>
    </w:p>
    <w:p>
      <w:pPr>
        <w:pStyle w:val="ListParagraph"/>
        <w:spacing w:before="280" w:after="280"/>
        <w:ind w:left="-284"/>
        <w:contextualSpacing/>
        <w:jc w:val="both"/>
        <w:rPr>
          <w:b/>
          <w:i/>
          <w:i/>
          <w:color w:val="000000"/>
          <w:sz w:val="20"/>
          <w:szCs w:val="20"/>
        </w:rPr>
      </w:pPr>
      <w:r>
        <w:rPr>
          <w:b/>
          <w:i/>
          <w:color w:val="000000"/>
          <w:sz w:val="20"/>
          <w:szCs w:val="20"/>
        </w:rPr>
      </w:r>
    </w:p>
    <w:p>
      <w:pPr>
        <w:pStyle w:val="ListParagraph"/>
        <w:numPr>
          <w:ilvl w:val="0"/>
          <w:numId w:val="1"/>
        </w:numPr>
        <w:spacing w:before="280" w:after="0"/>
        <w:ind w:firstLine="142" w:left="-426"/>
        <w:contextualSpacing/>
        <w:jc w:val="both"/>
        <w:rPr>
          <w:i/>
          <w:i/>
          <w:sz w:val="20"/>
          <w:szCs w:val="20"/>
        </w:rPr>
      </w:pPr>
      <w:r>
        <w:rPr>
          <w:b/>
          <w:i/>
          <w:sz w:val="20"/>
          <w:szCs w:val="20"/>
        </w:rPr>
        <w:t>Вид та ідентифікатор процедури закупівлі:</w:t>
      </w:r>
      <w:r>
        <w:rPr>
          <w:i/>
          <w:sz w:val="20"/>
          <w:szCs w:val="20"/>
        </w:rPr>
        <w:t xml:space="preserve"> звіт </w:t>
      </w:r>
      <w:r>
        <w:rPr>
          <w:i/>
          <w:color w:val="000000"/>
          <w:sz w:val="20"/>
          <w:szCs w:val="20"/>
        </w:rPr>
        <w:t>про договір про закупівлю, укладений без використання електронної системи закупівель</w:t>
      </w:r>
    </w:p>
    <w:p>
      <w:pPr>
        <w:pStyle w:val="ListParagraph"/>
        <w:spacing w:before="280" w:after="0"/>
        <w:ind w:left="-284"/>
        <w:contextualSpacing/>
        <w:jc w:val="both"/>
        <w:rPr>
          <w:i/>
          <w:i/>
          <w:sz w:val="20"/>
          <w:szCs w:val="20"/>
        </w:rPr>
      </w:pPr>
      <w:r>
        <w:rPr>
          <w:i/>
          <w:sz w:val="20"/>
          <w:szCs w:val="20"/>
        </w:rPr>
      </w:r>
    </w:p>
    <w:p>
      <w:pPr>
        <w:pStyle w:val="Normal"/>
        <w:spacing w:lineRule="auto" w:line="240" w:before="0" w:after="0"/>
        <w:ind w:left="-426"/>
        <w:jc w:val="both"/>
        <w:rPr>
          <w:rFonts w:ascii="Times New Roman" w:hAnsi="Times New Roman"/>
          <w:sz w:val="20"/>
          <w:szCs w:val="20"/>
        </w:rPr>
      </w:pPr>
      <w:r>
        <w:rPr>
          <w:rFonts w:eastAsia="Times New Roman" w:ascii="Times New Roman" w:hAnsi="Times New Roman"/>
          <w:b/>
          <w:i/>
          <w:sz w:val="20"/>
          <w:szCs w:val="20"/>
        </w:rPr>
        <w:t>4.Очікувана вартість та обґрунтування очікуваної вартості предмета закупівлі:</w:t>
      </w:r>
      <w:r>
        <w:rPr>
          <w:rFonts w:eastAsia="Times New Roman" w:ascii="Times New Roman" w:hAnsi="Times New Roman"/>
          <w:i/>
          <w:sz w:val="20"/>
          <w:szCs w:val="20"/>
        </w:rPr>
        <w:t xml:space="preserve"> </w:t>
      </w:r>
      <w:r>
        <w:rPr>
          <w:rFonts w:eastAsia="Times New Roman" w:ascii="Times New Roman" w:hAnsi="Times New Roman"/>
          <w:sz w:val="20"/>
          <w:szCs w:val="20"/>
        </w:rPr>
        <w:t xml:space="preserve">Статтею 5 Закону України «Про природні монополії» від 20.04.2000 № 1682-III передбачено, що сферами діяльності суб'єктів природних монополій є діяльність суб'єктів природних монополій у </w:t>
      </w:r>
      <w:r>
        <w:rPr>
          <w:rFonts w:ascii="Times New Roman" w:hAnsi="Times New Roman"/>
          <w:sz w:val="20"/>
          <w:szCs w:val="20"/>
        </w:rPr>
        <w:t>сфері розподілу електричної енергії (передачі електричної енергії місцевими (локальними) електромережами;</w:t>
      </w:r>
    </w:p>
    <w:p>
      <w:pPr>
        <w:pStyle w:val="Normal"/>
        <w:spacing w:lineRule="auto" w:line="240" w:before="0" w:after="0"/>
        <w:ind w:left="-426"/>
        <w:jc w:val="both"/>
        <w:rPr>
          <w:rFonts w:ascii="Times New Roman" w:hAnsi="Times New Roman"/>
          <w:sz w:val="20"/>
          <w:szCs w:val="20"/>
        </w:rPr>
      </w:pPr>
      <w:r>
        <w:rPr>
          <w:rFonts w:ascii="Times New Roman" w:hAnsi="Times New Roman"/>
          <w:sz w:val="20"/>
          <w:szCs w:val="20"/>
        </w:rPr>
      </w:r>
      <w:bookmarkStart w:id="0" w:name="_GoBack"/>
      <w:bookmarkStart w:id="1" w:name="_GoBack"/>
      <w:bookmarkEnd w:id="1"/>
    </w:p>
    <w:p>
      <w:pPr>
        <w:pStyle w:val="Normal"/>
        <w:spacing w:lineRule="auto" w:line="240" w:before="0" w:after="0"/>
        <w:ind w:left="-426"/>
        <w:jc w:val="both"/>
        <w:rPr>
          <w:rFonts w:ascii="Times New Roman" w:hAnsi="Times New Roman"/>
          <w:b/>
          <w:i/>
          <w:i/>
          <w:iCs/>
          <w:sz w:val="20"/>
          <w:szCs w:val="20"/>
        </w:rPr>
      </w:pPr>
      <w:r>
        <w:rPr>
          <w:rFonts w:eastAsia="Times New Roman" w:ascii="Times New Roman" w:hAnsi="Times New Roman"/>
          <w:sz w:val="20"/>
          <w:szCs w:val="20"/>
        </w:rPr>
        <w:t xml:space="preserve">Відповідно до </w:t>
      </w:r>
      <w:r>
        <w:rPr>
          <w:rFonts w:eastAsia="Times New Roman" w:ascii="Times New Roman" w:hAnsi="Times New Roman"/>
          <w:b/>
          <w:i/>
          <w:sz w:val="20"/>
          <w:szCs w:val="20"/>
        </w:rPr>
        <w:t>зведеного переліку суб’єктів природних монополій станом на 30.11.202</w:t>
      </w:r>
      <w:r>
        <w:rPr>
          <w:rFonts w:eastAsia="Times New Roman" w:ascii="Times New Roman" w:hAnsi="Times New Roman"/>
          <w:b/>
          <w:i/>
          <w:sz w:val="20"/>
          <w:szCs w:val="20"/>
        </w:rPr>
        <w:t>4</w:t>
      </w:r>
      <w:r>
        <w:rPr>
          <w:rFonts w:eastAsia="Times New Roman" w:ascii="Times New Roman" w:hAnsi="Times New Roman"/>
          <w:b/>
          <w:i/>
          <w:sz w:val="20"/>
          <w:szCs w:val="20"/>
        </w:rPr>
        <w:t xml:space="preserve"> року</w:t>
      </w:r>
      <w:r>
        <w:rPr>
          <w:rFonts w:eastAsia="Times New Roman" w:ascii="Times New Roman" w:hAnsi="Times New Roman"/>
          <w:sz w:val="20"/>
          <w:szCs w:val="20"/>
        </w:rPr>
        <w:t xml:space="preserve"> </w:t>
      </w:r>
      <w:r>
        <w:rPr>
          <w:rFonts w:ascii="Times New Roman" w:hAnsi="Times New Roman"/>
          <w:b/>
          <w:i/>
          <w:iCs/>
          <w:sz w:val="20"/>
          <w:szCs w:val="20"/>
        </w:rPr>
        <w:t>ПУБЛІЧНЕ АКЦІОНЕРНЕ ТОВАРИСТВО  "ЧЕРКАСИОБЛЕНЕРГО"</w:t>
      </w:r>
      <w:r>
        <w:rPr>
          <w:rFonts w:ascii="Times New Roman" w:hAnsi="Times New Roman"/>
          <w:iCs/>
          <w:sz w:val="20"/>
          <w:szCs w:val="20"/>
        </w:rPr>
        <w:t xml:space="preserve"> </w:t>
      </w:r>
      <w:r>
        <w:rPr>
          <w:rFonts w:eastAsia="Times New Roman" w:ascii="Times New Roman" w:hAnsi="Times New Roman"/>
          <w:b/>
          <w:i/>
          <w:sz w:val="20"/>
          <w:szCs w:val="20"/>
        </w:rPr>
        <w:t xml:space="preserve"> (№ з/п </w:t>
      </w:r>
      <w:r>
        <w:rPr>
          <w:rFonts w:eastAsia="Times New Roman" w:ascii="Times New Roman" w:hAnsi="Times New Roman"/>
          <w:b/>
          <w:i/>
          <w:sz w:val="20"/>
          <w:szCs w:val="20"/>
        </w:rPr>
        <w:t>46</w:t>
      </w:r>
      <w:r>
        <w:rPr>
          <w:rFonts w:eastAsia="Times New Roman" w:ascii="Times New Roman" w:hAnsi="Times New Roman"/>
          <w:b/>
          <w:i/>
          <w:sz w:val="20"/>
          <w:szCs w:val="20"/>
        </w:rPr>
        <w:t xml:space="preserve">) </w:t>
      </w:r>
      <w:r>
        <w:rPr>
          <w:rFonts w:eastAsia="Times New Roman" w:ascii="Times New Roman" w:hAnsi="Times New Roman"/>
          <w:sz w:val="20"/>
          <w:szCs w:val="20"/>
        </w:rPr>
        <w:t xml:space="preserve">має статус суб'єкта природних монополій у сфері </w:t>
      </w:r>
      <w:r>
        <w:rPr>
          <w:rFonts w:ascii="Times New Roman" w:hAnsi="Times New Roman"/>
          <w:sz w:val="20"/>
          <w:szCs w:val="20"/>
        </w:rPr>
        <w:t>розподілу електричної енергії (передачі електричної енергії місцевими (локальними) електромережами;</w:t>
      </w:r>
      <w:r>
        <w:rPr>
          <w:rFonts w:eastAsia="Times New Roman" w:ascii="Times New Roman" w:hAnsi="Times New Roman"/>
          <w:sz w:val="20"/>
          <w:szCs w:val="20"/>
        </w:rPr>
        <w:t xml:space="preserve"> </w:t>
      </w:r>
      <w:r>
        <w:rPr>
          <w:rFonts w:eastAsia="Times New Roman" w:ascii="Times New Roman" w:hAnsi="Times New Roman"/>
          <w:color w:val="000000"/>
          <w:sz w:val="20"/>
          <w:szCs w:val="20"/>
        </w:rPr>
        <w:t>Тарифи на послуги суб'єктам природних монополій встановлюються рішеннями Національної комісії, що здійснює державне регулювання у сферах енергетики та комунальних послуг (НКРЕКП), відповідно до постанови НКРЕКП від</w:t>
      </w:r>
      <w:r>
        <w:rPr>
          <w:rFonts w:ascii="Times New Roman" w:hAnsi="Times New Roman"/>
          <w:color w:val="000000"/>
          <w:sz w:val="20"/>
          <w:szCs w:val="20"/>
          <w:shd w:fill="FFFFFF" w:val="clear"/>
        </w:rPr>
        <w:t xml:space="preserve"> 21.12.2022 № 1812</w:t>
      </w:r>
      <w:r>
        <w:rPr>
          <w:rFonts w:eastAsia="Times New Roman" w:ascii="Times New Roman" w:hAnsi="Times New Roman"/>
          <w:color w:val="000000"/>
          <w:sz w:val="20"/>
          <w:szCs w:val="20"/>
        </w:rPr>
        <w:t xml:space="preserve"> «Про встановлення тарифів на послуги з розподілу  електричної енергії  </w:t>
      </w:r>
      <w:r>
        <w:rPr>
          <w:rFonts w:ascii="Times New Roman" w:hAnsi="Times New Roman"/>
          <w:iCs/>
          <w:sz w:val="20"/>
          <w:szCs w:val="20"/>
        </w:rPr>
        <w:t>ПУБЛІЧНЕ АКЦІОНЕРНЕ ТОВАРИСТВО  "ЧЕРКАСИОБЛЕНЕРГО".</w:t>
      </w:r>
    </w:p>
    <w:p>
      <w:pPr>
        <w:pStyle w:val="Normal"/>
        <w:spacing w:before="280" w:after="280"/>
        <w:ind w:left="-426"/>
        <w:jc w:val="both"/>
        <w:rPr>
          <w:rFonts w:ascii="Times New Roman" w:hAnsi="Times New Roman"/>
          <w:i/>
          <w:i/>
          <w:sz w:val="20"/>
          <w:szCs w:val="20"/>
        </w:rPr>
      </w:pPr>
      <w:r>
        <w:rPr>
          <w:rFonts w:ascii="Times New Roman" w:hAnsi="Times New Roman"/>
          <w:b/>
          <w:i/>
          <w:sz w:val="20"/>
          <w:szCs w:val="20"/>
        </w:rPr>
        <w:t>Очікувана вартість предмета закупівлі становить</w:t>
      </w:r>
      <w:r>
        <w:rPr>
          <w:rFonts w:ascii="Times New Roman" w:hAnsi="Times New Roman"/>
          <w:sz w:val="20"/>
          <w:szCs w:val="20"/>
        </w:rPr>
        <w:t xml:space="preserve">: </w:t>
      </w:r>
      <w:r>
        <w:rPr>
          <w:rFonts w:ascii="Times New Roman" w:hAnsi="Times New Roman"/>
          <w:i/>
          <w:iCs/>
          <w:sz w:val="20"/>
          <w:szCs w:val="20"/>
        </w:rPr>
        <w:t>697 671</w:t>
      </w:r>
      <w:r>
        <w:rPr>
          <w:rFonts w:ascii="Times New Roman" w:hAnsi="Times New Roman"/>
          <w:i/>
          <w:iCs/>
          <w:sz w:val="20"/>
          <w:szCs w:val="20"/>
        </w:rPr>
        <w:t>,0</w:t>
      </w:r>
      <w:r>
        <w:rPr>
          <w:rFonts w:ascii="Times New Roman" w:hAnsi="Times New Roman"/>
          <w:i/>
          <w:sz w:val="20"/>
          <w:szCs w:val="20"/>
        </w:rPr>
        <w:t>0 грн (</w:t>
      </w:r>
      <w:r>
        <w:rPr>
          <w:rFonts w:ascii="Times New Roman" w:hAnsi="Times New Roman"/>
          <w:i/>
          <w:sz w:val="20"/>
          <w:szCs w:val="20"/>
        </w:rPr>
        <w:t xml:space="preserve">шістсот дев'яносто сім </w:t>
      </w:r>
      <w:r>
        <w:rPr>
          <w:rFonts w:ascii="Times New Roman" w:hAnsi="Times New Roman"/>
          <w:i/>
          <w:sz w:val="20"/>
          <w:szCs w:val="20"/>
        </w:rPr>
        <w:t xml:space="preserve">тисяч шістсот </w:t>
      </w:r>
      <w:r>
        <w:rPr>
          <w:rFonts w:ascii="Times New Roman" w:hAnsi="Times New Roman"/>
          <w:i/>
          <w:sz w:val="20"/>
          <w:szCs w:val="20"/>
        </w:rPr>
        <w:t>сімдесят одна</w:t>
      </w:r>
      <w:r>
        <w:rPr>
          <w:rFonts w:ascii="Times New Roman" w:hAnsi="Times New Roman"/>
          <w:i/>
          <w:sz w:val="20"/>
          <w:szCs w:val="20"/>
        </w:rPr>
        <w:t xml:space="preserve">   грн 00 коп) з ПДВ</w:t>
      </w:r>
    </w:p>
    <w:p>
      <w:pPr>
        <w:pStyle w:val="ListParagraph"/>
        <w:spacing w:before="280" w:after="280"/>
        <w:ind w:left="-426"/>
        <w:contextualSpacing/>
        <w:jc w:val="both"/>
        <w:rPr>
          <w:sz w:val="20"/>
          <w:szCs w:val="20"/>
        </w:rPr>
      </w:pPr>
      <w:r>
        <w:rPr>
          <w:b/>
          <w:sz w:val="20"/>
          <w:szCs w:val="20"/>
        </w:rPr>
        <w:t xml:space="preserve"> </w:t>
      </w:r>
      <w:r>
        <w:rPr>
          <w:sz w:val="20"/>
          <w:szCs w:val="20"/>
        </w:rPr>
        <w:t xml:space="preserve">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діяльності та власних потреб об’єкта замовника, враховуючи обсяги розподіленої / спожитої електричної енергії попереднього календарного року, становить  </w:t>
      </w:r>
      <w:r>
        <w:rPr>
          <w:b/>
          <w:sz w:val="20"/>
          <w:szCs w:val="20"/>
          <w:lang w:val="uk-UA"/>
        </w:rPr>
        <w:t>3</w:t>
      </w:r>
      <w:r>
        <w:rPr>
          <w:b/>
          <w:sz w:val="20"/>
          <w:szCs w:val="20"/>
        </w:rPr>
        <w:t>00 000  кВт</w:t>
      </w:r>
      <w:r>
        <w:rPr>
          <w:sz w:val="20"/>
          <w:szCs w:val="20"/>
        </w:rPr>
        <w:t>. год на 202</w:t>
      </w:r>
      <w:r>
        <w:rPr>
          <w:sz w:val="20"/>
          <w:szCs w:val="20"/>
          <w:lang w:val="uk-UA"/>
        </w:rPr>
        <w:t>5</w:t>
      </w:r>
      <w:r>
        <w:rPr>
          <w:sz w:val="20"/>
          <w:szCs w:val="20"/>
        </w:rPr>
        <w:t xml:space="preserve"> р.</w:t>
      </w:r>
    </w:p>
    <w:p>
      <w:pPr>
        <w:pStyle w:val="Normal"/>
        <w:pBdr/>
        <w:spacing w:lineRule="auto" w:line="240" w:before="0" w:after="0"/>
        <w:ind w:firstLine="426" w:left="-426"/>
        <w:jc w:val="both"/>
        <w:rPr>
          <w:rFonts w:ascii="Times New Roman" w:hAnsi="Times New Roman" w:eastAsia="Times New Roman"/>
          <w:b/>
          <w:color w:val="000000"/>
          <w:sz w:val="20"/>
          <w:szCs w:val="20"/>
        </w:rPr>
      </w:pPr>
      <w:r>
        <w:rPr>
          <w:rFonts w:eastAsia="Times New Roman" w:ascii="Times New Roman" w:hAnsi="Times New Roman"/>
          <w:b/>
          <w:i/>
          <w:color w:val="000000"/>
          <w:sz w:val="20"/>
          <w:szCs w:val="20"/>
        </w:rPr>
        <w:t>Обґрунтування якісних характеристик предмета закупівлі</w:t>
      </w:r>
      <w:r>
        <w:rPr>
          <w:rFonts w:eastAsia="Times New Roman" w:ascii="Times New Roman" w:hAnsi="Times New Roman"/>
          <w:b/>
          <w:color w:val="000000"/>
          <w:sz w:val="20"/>
          <w:szCs w:val="20"/>
        </w:rPr>
        <w:t xml:space="preserve">: </w:t>
      </w:r>
    </w:p>
    <w:p>
      <w:pPr>
        <w:pStyle w:val="Normal"/>
        <w:pBdr/>
        <w:spacing w:lineRule="auto" w:line="240" w:before="0" w:after="0"/>
        <w:ind w:firstLine="426"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 xml:space="preserve">Пунктом </w:t>
      </w:r>
      <w:bookmarkStart w:id="2" w:name="bookmark=id.gjdgxs"/>
      <w:bookmarkEnd w:id="2"/>
      <w:r>
        <w:rPr>
          <w:rFonts w:eastAsia="Times New Roman" w:ascii="Times New Roman" w:hAnsi="Times New Roman"/>
          <w:color w:val="000000"/>
          <w:sz w:val="20"/>
          <w:szCs w:val="20"/>
        </w:rPr>
        <w:t>78 статті 1 Закону визначено, що розподіл електричної енергії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w:t>
      </w:r>
      <w:bookmarkStart w:id="3" w:name="bookmark=id.30j0zll"/>
      <w:bookmarkEnd w:id="3"/>
      <w:r>
        <w:rPr>
          <w:rFonts w:eastAsia="Times New Roman" w:ascii="Times New Roman" w:hAnsi="Times New Roman"/>
          <w:color w:val="000000"/>
          <w:sz w:val="20"/>
          <w:szCs w:val="20"/>
        </w:rPr>
        <w:t xml:space="preserve"> Оператор системи розподілу надає послуги з розподілу електричної енергії на недискримінаційних засадах відповідно до цього Закону, КСР та інших нормативно-правових актів, що регулюють функціонування ринку електричної енергії. </w:t>
      </w:r>
      <w:bookmarkStart w:id="4" w:name="bookmark=id.1fob9te"/>
      <w:bookmarkEnd w:id="4"/>
      <w:r>
        <w:rPr>
          <w:rFonts w:eastAsia="Times New Roman" w:ascii="Times New Roman" w:hAnsi="Times New Roman"/>
          <w:color w:val="000000"/>
          <w:sz w:val="20"/>
          <w:szCs w:val="20"/>
        </w:rPr>
        <w:t>Підтвердженням належності провадження господарської діяльності з розподілу електричної енергії є відомості, розміщені на офіційному вебсайті НКРЕКП у розділі: Електрична енергія  /  Ліцензування  /  Реєстри ліцензіатів (вид діяльності — розподіл електричної енергії).</w:t>
      </w:r>
    </w:p>
    <w:p>
      <w:pPr>
        <w:pStyle w:val="Normal"/>
        <w:pBdr/>
        <w:spacing w:lineRule="auto" w:line="240" w:before="0" w:after="0"/>
        <w:ind w:firstLine="426"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Ліцензійними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(або частина території) адміністративно-територіальної одиниці, де розташована система розподілу електричної енергії, що перебуває у власності ліцензіата та до якої приєднані електричні мережі споживачів, які живляться від мереж ліцензіата.</w:t>
      </w:r>
    </w:p>
    <w:p>
      <w:pPr>
        <w:pStyle w:val="Normal"/>
        <w:pBdr/>
        <w:spacing w:lineRule="auto" w:line="240" w:before="0" w:after="0"/>
        <w:ind w:firstLine="426"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p>
    <w:p>
      <w:pPr>
        <w:pStyle w:val="Normal"/>
        <w:pBdr/>
        <w:spacing w:lineRule="auto" w:line="240" w:before="0" w:after="0"/>
        <w:ind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До якісних характеристик предмета закупівлі, зокрема, належать:</w:t>
      </w:r>
    </w:p>
    <w:p>
      <w:pPr>
        <w:pStyle w:val="Normal"/>
        <w:numPr>
          <w:ilvl w:val="0"/>
          <w:numId w:val="4"/>
        </w:numPr>
        <w:pBdr/>
        <w:spacing w:lineRule="auto" w:line="240" w:before="0" w:after="0"/>
        <w:ind w:hanging="0"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надійність (безперервність) електропостачання;</w:t>
      </w:r>
    </w:p>
    <w:p>
      <w:pPr>
        <w:pStyle w:val="Normal"/>
        <w:numPr>
          <w:ilvl w:val="0"/>
          <w:numId w:val="5"/>
        </w:numPr>
        <w:pBdr/>
        <w:spacing w:lineRule="auto" w:line="240" w:before="0" w:after="0"/>
        <w:ind w:hanging="0"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параметри якості електричної енергії, що розподіляється оператором системи розподілу;</w:t>
      </w:r>
    </w:p>
    <w:p>
      <w:pPr>
        <w:pStyle w:val="Normal"/>
        <w:numPr>
          <w:ilvl w:val="0"/>
          <w:numId w:val="2"/>
        </w:numPr>
        <w:pBdr/>
        <w:spacing w:lineRule="auto" w:line="240" w:before="0" w:after="0"/>
        <w:ind w:hanging="0"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показники комерційної якості послуг оператора системи розподілу.</w:t>
      </w:r>
    </w:p>
    <w:p>
      <w:pPr>
        <w:pStyle w:val="Normal"/>
        <w:pBdr/>
        <w:spacing w:lineRule="auto" w:line="240" w:before="0" w:after="0"/>
        <w:ind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Згідно з пунктом 11.4.2 КСР надійність (безперервність) електропостачання характеризується кількістю, тривалістю перерв в електропостачанні та обсягом недовідпущеної електричної енергії.</w:t>
      </w:r>
    </w:p>
    <w:p>
      <w:pPr>
        <w:pStyle w:val="Normal"/>
        <w:pBdr/>
        <w:spacing w:lineRule="auto" w:line="240" w:before="0" w:after="0"/>
        <w:ind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Надійність (безперервність) електропостачання споживача характеризується такими показниками:</w:t>
      </w:r>
    </w:p>
    <w:p>
      <w:pPr>
        <w:pStyle w:val="Normal"/>
        <w:numPr>
          <w:ilvl w:val="0"/>
          <w:numId w:val="3"/>
        </w:numPr>
        <w:pBdr/>
        <w:spacing w:lineRule="auto" w:line="240" w:before="0" w:after="0"/>
        <w:ind w:hanging="0" w:left="-426"/>
        <w:jc w:val="both"/>
        <w:rPr>
          <w:rFonts w:ascii="Times New Roman" w:hAnsi="Times New Roman" w:eastAsia="Times New Roman"/>
          <w:color w:val="000000"/>
          <w:sz w:val="20"/>
          <w:szCs w:val="20"/>
        </w:rPr>
      </w:pPr>
      <w:bookmarkStart w:id="5" w:name="bookmark=id.2et92p0"/>
      <w:bookmarkEnd w:id="5"/>
      <w:r>
        <w:rPr>
          <w:rFonts w:eastAsia="Times New Roman" w:ascii="Times New Roman" w:hAnsi="Times New Roman"/>
          <w:color w:val="000000"/>
          <w:sz w:val="20"/>
          <w:szCs w:val="20"/>
        </w:rPr>
        <w:t>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у яких було припинене електропостачання за звітний період, до загальної кількості точок комерційного обліку електричної енергії;</w:t>
      </w:r>
    </w:p>
    <w:p>
      <w:pPr>
        <w:pStyle w:val="Normal"/>
        <w:numPr>
          <w:ilvl w:val="0"/>
          <w:numId w:val="3"/>
        </w:numPr>
        <w:pBdr/>
        <w:spacing w:lineRule="auto" w:line="240" w:before="0" w:after="0"/>
        <w:ind w:hanging="0"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у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w:t>
      </w:r>
    </w:p>
    <w:p>
      <w:pPr>
        <w:pStyle w:val="Normal"/>
        <w:numPr>
          <w:ilvl w:val="0"/>
          <w:numId w:val="3"/>
        </w:numPr>
        <w:pBdr/>
        <w:spacing w:lineRule="auto" w:line="240" w:before="0" w:after="0"/>
        <w:ind w:hanging="0"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w:t>
      </w:r>
    </w:p>
    <w:p>
      <w:pPr>
        <w:pStyle w:val="Normal"/>
        <w:numPr>
          <w:ilvl w:val="0"/>
          <w:numId w:val="3"/>
        </w:numPr>
        <w:pBdr/>
        <w:spacing w:lineRule="auto" w:line="240" w:before="0" w:after="0"/>
        <w:ind w:hanging="0"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розрахунковий обсяг недовідпущеної електроенергії (ENS) розраховується як сума добутків кількості точок комерційного обліку електричної енергії, у яких було припинене електропостачання, на тривалість довгої перерви та на середнє споживання електроенергії на відповідному рівні напруги.</w:t>
      </w:r>
    </w:p>
    <w:p>
      <w:pPr>
        <w:pStyle w:val="Normal"/>
        <w:shd w:val="clear" w:color="auto" w:fill="FFFFFF"/>
        <w:spacing w:lineRule="auto" w:line="240" w:before="0" w:after="0"/>
        <w:ind w:left="-426"/>
        <w:jc w:val="both"/>
        <w:rPr>
          <w:rFonts w:ascii="Times New Roman" w:hAnsi="Times New Roman" w:eastAsia="Times New Roman"/>
          <w:sz w:val="20"/>
          <w:szCs w:val="20"/>
        </w:rPr>
      </w:pPr>
      <w:r>
        <w:rPr>
          <w:rFonts w:eastAsia="Times New Roman" w:ascii="Times New Roman" w:hAnsi="Times New Roman"/>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r>
        <w:rPr>
          <w:sz w:val="20"/>
          <w:szCs w:val="20"/>
        </w:rPr>
        <w:t xml:space="preserve"> </w:t>
      </w:r>
      <w:r>
        <w:rPr>
          <w:rFonts w:eastAsia="Times New Roman" w:ascii="Times New Roman" w:hAnsi="Times New Roman"/>
          <w:color w:val="000000"/>
          <w:sz w:val="20"/>
          <w:szCs w:val="20"/>
        </w:rPr>
        <w:t>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XI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 (далі — ДСТУ EN 50160:2014).</w:t>
      </w:r>
    </w:p>
    <w:p>
      <w:pPr>
        <w:pStyle w:val="Normal"/>
        <w:shd w:val="clear" w:color="auto" w:fill="FFFFFF"/>
        <w:spacing w:lineRule="auto" w:line="240" w:before="0" w:after="0"/>
        <w:ind w:left="-426"/>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r>
    </w:p>
    <w:p>
      <w:pPr>
        <w:pStyle w:val="Normal"/>
        <w:shd w:val="clear" w:color="auto" w:fill="FFFFFF"/>
        <w:spacing w:lineRule="auto" w:line="240" w:before="0" w:after="0"/>
        <w:ind w:left="-426"/>
        <w:jc w:val="both"/>
        <w:rPr>
          <w:rFonts w:ascii="Times New Roman" w:hAnsi="Times New Roman" w:eastAsia="Times New Roman"/>
          <w:sz w:val="20"/>
          <w:szCs w:val="20"/>
        </w:rPr>
      </w:pPr>
      <w:r>
        <w:rPr>
          <w:rFonts w:eastAsia="Times New Roman" w:ascii="Times New Roman" w:hAnsi="Times New Roman"/>
          <w:color w:val="000000"/>
          <w:sz w:val="20"/>
          <w:szCs w:val="20"/>
        </w:rPr>
        <w:t>Основні показники якості електричної енергії визначені у пунктах 11.4.7–11.4.12 глави 11.4 розділу XІ КСР. </w:t>
      </w:r>
    </w:p>
    <w:p>
      <w:pPr>
        <w:pStyle w:val="Normal"/>
        <w:shd w:val="clear" w:color="auto" w:fill="FFFFFF"/>
        <w:tabs>
          <w:tab w:val="clear" w:pos="720"/>
          <w:tab w:val="left" w:pos="3925" w:leader="none"/>
        </w:tabs>
        <w:spacing w:lineRule="auto" w:line="240" w:before="0" w:after="0"/>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ab/>
      </w:r>
    </w:p>
    <w:p>
      <w:pPr>
        <w:pStyle w:val="Normal"/>
        <w:spacing w:lineRule="auto" w:line="240" w:before="0" w:after="0"/>
        <w:ind w:firstLine="708"/>
        <w:jc w:val="both"/>
        <w:rPr>
          <w:rFonts w:ascii="Times New Roman" w:hAnsi="Times New Roman" w:eastAsia="Times New Roman"/>
          <w:sz w:val="20"/>
          <w:szCs w:val="20"/>
        </w:rPr>
      </w:pPr>
      <w:r>
        <w:rPr>
          <w:rFonts w:eastAsia="Times New Roman" w:ascii="Times New Roman" w:hAnsi="Times New Roman"/>
          <w:sz w:val="20"/>
          <w:szCs w:val="20"/>
        </w:rPr>
      </w:r>
    </w:p>
    <w:sectPr>
      <w:type w:val="nextPage"/>
      <w:pgSz w:w="11906" w:h="16838"/>
      <w:pgMar w:left="1701" w:right="850" w:gutter="0" w:header="0" w:top="993"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Georgia">
    <w:charset w:val="cc"/>
    <w:family w:val="roman"/>
    <w:pitch w:val="variable"/>
  </w:font>
  <w:font w:name="Times New Roman">
    <w:charset w:val="01"/>
    <w:family w:val="roman"/>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6"/>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uk-UA"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5d30"/>
    <w:pPr>
      <w:widowControl/>
      <w:bidi w:val="0"/>
      <w:spacing w:lineRule="auto" w:line="259" w:before="0" w:after="160"/>
      <w:jc w:val="left"/>
    </w:pPr>
    <w:rPr>
      <w:rFonts w:cs="Times New Roman" w:ascii="Calibri" w:hAnsi="Calibri" w:eastAsia="Calibri"/>
      <w:color w:val="auto"/>
      <w:kern w:val="0"/>
      <w:sz w:val="22"/>
      <w:szCs w:val="22"/>
      <w:lang w:val="uk-UA" w:eastAsia="ru-RU"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f5401"/>
    <w:rPr>
      <w:b/>
      <w:bCs/>
    </w:rPr>
  </w:style>
  <w:style w:type="paragraph" w:styleId="Style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Покажчик"/>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NormalWeb">
    <w:name w:val="Normal (Web)"/>
    <w:basedOn w:val="Normal"/>
    <w:uiPriority w:val="99"/>
    <w:semiHidden/>
    <w:unhideWhenUsed/>
    <w:qFormat/>
    <w:rsid w:val="00bd5d30"/>
    <w:pPr/>
    <w:rPr>
      <w:rFonts w:ascii="Times New Roman" w:hAnsi="Times New Roman"/>
      <w:sz w:val="24"/>
      <w:szCs w:val="24"/>
    </w:rPr>
  </w:style>
  <w:style w:type="paragraph" w:styleId="rvps2" w:customStyle="1">
    <w:name w:val="rvps2"/>
    <w:basedOn w:val="Normal"/>
    <w:qFormat/>
    <w:rsid w:val="00e07010"/>
    <w:pPr>
      <w:spacing w:lineRule="auto" w:line="240" w:beforeAutospacing="1" w:afterAutospacing="1"/>
    </w:pPr>
    <w:rPr>
      <w:rFonts w:ascii="Times New Roman" w:hAnsi="Times New Roman" w:eastAsia="Times New Roman"/>
      <w:sz w:val="24"/>
      <w:szCs w:val="24"/>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hiftAlt" w:customStyle="1">
    <w:name w:val="Додаток_основной_текст (Додаток___Shift+Alt)"/>
    <w:uiPriority w:val="2"/>
    <w:qFormat/>
    <w:rsid w:val="005f617e"/>
    <w:pPr>
      <w:widowControl/>
      <w:bidi w:val="0"/>
      <w:spacing w:lineRule="atLeast" w:line="210" w:before="0" w:after="0"/>
      <w:ind w:firstLine="227"/>
      <w:jc w:val="both"/>
      <w:textAlignment w:val="center"/>
    </w:pPr>
    <w:rPr>
      <w:rFonts w:ascii="Times New Roman" w:hAnsi="Times New Roman" w:eastAsia="Calibri" w:cs="Myriad Pro" w:eastAsiaTheme="minorHAnsi"/>
      <w:color w:val="000000"/>
      <w:kern w:val="0"/>
      <w:sz w:val="24"/>
      <w:szCs w:val="18"/>
      <w:lang w:eastAsia="en-US" w:val="uk-UA" w:bidi="ar-SA"/>
    </w:rPr>
  </w:style>
  <w:style w:type="paragraph" w:styleId="ListParagraph">
    <w:name w:val="List Paragraph"/>
    <w:basedOn w:val="Normal"/>
    <w:uiPriority w:val="34"/>
    <w:qFormat/>
    <w:rsid w:val="005f617e"/>
    <w:pPr>
      <w:spacing w:lineRule="auto" w:line="240" w:before="0" w:after="0"/>
      <w:ind w:left="720"/>
      <w:contextualSpacing/>
    </w:pPr>
    <w:rPr>
      <w:rFonts w:ascii="Times New Roman" w:hAnsi="Times New Roman" w:eastAsia="Times New Roman"/>
      <w:sz w:val="24"/>
      <w:szCs w:val="24"/>
      <w:lang w:val="ru-RU"/>
    </w:rPr>
  </w:style>
  <w:style w:type="paragraph" w:styleId="Standard" w:customStyle="1">
    <w:name w:val="Standard"/>
    <w:qFormat/>
    <w:rsid w:val="00d17e6f"/>
    <w:pPr>
      <w:widowControl w:val="false"/>
      <w:suppressAutoHyphens w:val="true"/>
      <w:bidi w:val="0"/>
      <w:spacing w:lineRule="auto" w:line="240" w:before="0" w:after="0"/>
      <w:jc w:val="left"/>
      <w:textAlignment w:val="baseline"/>
    </w:pPr>
    <w:rPr>
      <w:rFonts w:ascii="Liberation Serif" w:hAnsi="Liberation Serif" w:eastAsia="Segoe UI" w:cs="Tahoma"/>
      <w:color w:val="000000"/>
      <w:kern w:val="2"/>
      <w:sz w:val="24"/>
      <w:szCs w:val="24"/>
      <w:lang w:val="en-US" w:eastAsia="zh-CN" w:bidi="hi-IN"/>
    </w:rPr>
  </w:style>
  <w:style w:type="numbering" w:styleId="Style10"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Application>LibreOffice/24.2.5.2$Windows_X86_64 LibreOffice_project/bffef4ea93e59bebbeaf7f431bb02b1a39ee8a59</Application>
  <AppVersion>15.0000</AppVersion>
  <Pages>2</Pages>
  <Words>843</Words>
  <Characters>6385</Characters>
  <CharactersWithSpaces>7218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2023-03-08T08:26:00Z</dcterms:created>
  <dc:creator>Hanna Dovhaia</dc:creator>
  <dc:description/>
  <dc:language>uk-UA</dc:language>
  <cp:lastModifiedBy/>
  <cp:lastPrinted>2023-11-01T08:28:00Z</cp:lastPrinted>
  <dcterms:modified xsi:type="dcterms:W3CDTF">2024-12-29T14:01:03Z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