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BF00" w14:textId="77777777" w:rsidR="00704291" w:rsidRDefault="007D60CC">
      <w:pPr>
        <w:pStyle w:val="ShiftAlt"/>
        <w:spacing w:line="276" w:lineRule="auto"/>
        <w:ind w:firstLine="426"/>
        <w:jc w:val="center"/>
        <w:rPr>
          <w:rFonts w:cs="Times New Roman"/>
          <w:b/>
          <w:bCs/>
          <w:sz w:val="32"/>
          <w:szCs w:val="24"/>
        </w:rPr>
      </w:pPr>
      <w:r>
        <w:rPr>
          <w:rFonts w:cs="Times New Roman"/>
          <w:b/>
          <w:bCs/>
          <w:sz w:val="32"/>
          <w:szCs w:val="24"/>
        </w:rPr>
        <w:t>НАЦІОНАЛЬНИЙ ДЕНДРОЛОГІЧНИЙ ПАРК «СОФІЇВКА» НАЦІОНАЛЬНОЇ АКАДЕМІЇ НАУК УКРАЇНИ</w:t>
      </w:r>
    </w:p>
    <w:p w14:paraId="399251E5" w14:textId="77777777" w:rsidR="00704291" w:rsidRDefault="007D60CC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(НДП «Софіївка» НАН України»)</w:t>
      </w:r>
    </w:p>
    <w:p w14:paraId="3D5C9170" w14:textId="77777777" w:rsidR="00704291" w:rsidRDefault="007042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234447F6" w14:textId="77777777" w:rsidR="00704291" w:rsidRDefault="0070429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D896CC8" w14:textId="77777777" w:rsidR="00704291" w:rsidRDefault="007D60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</w:r>
      <w:r>
        <w:rPr>
          <w:rFonts w:ascii="Times New Roman" w:hAnsi="Times New Roman"/>
          <w:b/>
          <w:i/>
          <w:sz w:val="24"/>
          <w:szCs w:val="24"/>
        </w:rPr>
        <w:t>закупівлі</w:t>
      </w:r>
    </w:p>
    <w:p w14:paraId="6C1EE1E9" w14:textId="77777777" w:rsidR="00704291" w:rsidRDefault="007D60CC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(відповідно до пункту 4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i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14:paraId="77CD9CC1" w14:textId="77777777" w:rsidR="00704291" w:rsidRDefault="00704291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</w:p>
    <w:p w14:paraId="260394B9" w14:textId="77777777" w:rsidR="00704291" w:rsidRDefault="007D60CC">
      <w:pPr>
        <w:pStyle w:val="ac"/>
        <w:numPr>
          <w:ilvl w:val="0"/>
          <w:numId w:val="1"/>
        </w:numPr>
        <w:ind w:left="-426" w:firstLine="142"/>
        <w:jc w:val="both"/>
        <w:rPr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</w:t>
      </w:r>
      <w:r>
        <w:rPr>
          <w:b/>
          <w:i/>
          <w:sz w:val="20"/>
          <w:szCs w:val="20"/>
          <w:lang w:val="uk-UA"/>
        </w:rPr>
        <w:t xml:space="preserve"> підприємців та громадських формувань, його категорія: </w:t>
      </w:r>
      <w:r>
        <w:rPr>
          <w:i/>
          <w:sz w:val="20"/>
          <w:szCs w:val="20"/>
          <w:lang w:val="uk-UA"/>
        </w:rPr>
        <w:t>НАЦІОНАЛЬНИЙ ДЕНДРОЛОГІЧНИЙ ПАРК «СОФІЇВКА» НАЦІОНАЛЬНОЇ АКАДЕМІЇ НАУК УКРАЇНИ; 20300, Черкаська  область, місто Умань, вулиця Київська , будинок 12; код за ЄДРПОУ — 03534653; категорія замовника — Юри</w:t>
      </w:r>
      <w:r>
        <w:rPr>
          <w:i/>
          <w:sz w:val="20"/>
          <w:szCs w:val="20"/>
          <w:lang w:val="uk-UA"/>
        </w:rPr>
        <w:t>дична особа, яка забезпечує потреби держави або територіальної громади</w:t>
      </w:r>
    </w:p>
    <w:p w14:paraId="726D3361" w14:textId="77777777" w:rsidR="00704291" w:rsidRDefault="00704291">
      <w:pPr>
        <w:pStyle w:val="ac"/>
        <w:ind w:left="-284"/>
        <w:jc w:val="both"/>
        <w:rPr>
          <w:i/>
          <w:sz w:val="20"/>
          <w:szCs w:val="20"/>
          <w:lang w:val="uk-UA"/>
        </w:rPr>
      </w:pPr>
    </w:p>
    <w:p w14:paraId="6258F697" w14:textId="77777777" w:rsidR="00704291" w:rsidRDefault="007D60CC">
      <w:pPr>
        <w:pStyle w:val="ac"/>
        <w:numPr>
          <w:ilvl w:val="0"/>
          <w:numId w:val="1"/>
        </w:numPr>
        <w:spacing w:before="280" w:after="280"/>
        <w:ind w:left="-426" w:firstLine="142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</w:t>
      </w:r>
      <w:r>
        <w:rPr>
          <w:b/>
          <w:i/>
          <w:sz w:val="20"/>
          <w:szCs w:val="20"/>
        </w:rPr>
        <w:t>сифікаторів предмета закупівлі й частин предмета закупівлі (лотів) (за наявності):</w:t>
      </w:r>
      <w:r>
        <w:rPr>
          <w:i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Послуга з розподілу електричної енергії, код </w:t>
      </w:r>
      <w:r>
        <w:rPr>
          <w:i/>
          <w:sz w:val="20"/>
          <w:szCs w:val="20"/>
        </w:rPr>
        <w:t xml:space="preserve">за </w:t>
      </w:r>
      <w:r>
        <w:rPr>
          <w:bCs/>
          <w:i/>
          <w:sz w:val="20"/>
          <w:szCs w:val="20"/>
        </w:rPr>
        <w:t>ДК 021:</w:t>
      </w:r>
      <w:proofErr w:type="gramStart"/>
      <w:r>
        <w:rPr>
          <w:bCs/>
          <w:i/>
          <w:sz w:val="20"/>
          <w:szCs w:val="20"/>
        </w:rPr>
        <w:t xml:space="preserve">2015 </w:t>
      </w:r>
      <w:r>
        <w:rPr>
          <w:i/>
          <w:color w:val="000000"/>
          <w:sz w:val="20"/>
          <w:szCs w:val="20"/>
        </w:rPr>
        <w:t xml:space="preserve"> —</w:t>
      </w:r>
      <w:proofErr w:type="gramEnd"/>
      <w:r>
        <w:rPr>
          <w:i/>
          <w:color w:val="000000"/>
          <w:sz w:val="20"/>
          <w:szCs w:val="20"/>
        </w:rPr>
        <w:t xml:space="preserve"> 65310000-9 «Розподіл електричної енергії».</w:t>
      </w:r>
    </w:p>
    <w:p w14:paraId="09F8DD7E" w14:textId="77777777" w:rsidR="00704291" w:rsidRDefault="00704291">
      <w:pPr>
        <w:pStyle w:val="ac"/>
        <w:rPr>
          <w:b/>
          <w:i/>
          <w:color w:val="000000"/>
          <w:sz w:val="20"/>
          <w:szCs w:val="20"/>
        </w:rPr>
      </w:pPr>
    </w:p>
    <w:p w14:paraId="2B55EE10" w14:textId="77777777" w:rsidR="00704291" w:rsidRDefault="00704291">
      <w:pPr>
        <w:pStyle w:val="ac"/>
        <w:spacing w:before="280" w:after="280"/>
        <w:ind w:left="-284"/>
        <w:jc w:val="both"/>
        <w:rPr>
          <w:b/>
          <w:i/>
          <w:color w:val="000000"/>
          <w:sz w:val="20"/>
          <w:szCs w:val="20"/>
        </w:rPr>
      </w:pPr>
    </w:p>
    <w:p w14:paraId="1A9A93A3" w14:textId="77777777" w:rsidR="00704291" w:rsidRDefault="007D60CC">
      <w:pPr>
        <w:pStyle w:val="ac"/>
        <w:numPr>
          <w:ilvl w:val="0"/>
          <w:numId w:val="1"/>
        </w:numPr>
        <w:spacing w:before="280"/>
        <w:ind w:left="-426" w:firstLine="142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Вид та ідентифікатор процедури закупівлі:</w:t>
      </w:r>
      <w:r>
        <w:rPr>
          <w:i/>
          <w:sz w:val="20"/>
          <w:szCs w:val="20"/>
        </w:rPr>
        <w:t xml:space="preserve"> звіт </w:t>
      </w:r>
      <w:r>
        <w:rPr>
          <w:i/>
          <w:color w:val="000000"/>
          <w:sz w:val="20"/>
          <w:szCs w:val="20"/>
        </w:rPr>
        <w:t xml:space="preserve">про договір про </w:t>
      </w:r>
      <w:r>
        <w:rPr>
          <w:i/>
          <w:color w:val="000000"/>
          <w:sz w:val="20"/>
          <w:szCs w:val="20"/>
        </w:rPr>
        <w:t>закупівлю, укладений без використання електронної системи закупівель</w:t>
      </w:r>
    </w:p>
    <w:p w14:paraId="371E940E" w14:textId="77777777" w:rsidR="00704291" w:rsidRDefault="00704291">
      <w:pPr>
        <w:pStyle w:val="ac"/>
        <w:spacing w:before="280"/>
        <w:ind w:left="-284"/>
        <w:jc w:val="both"/>
        <w:rPr>
          <w:i/>
          <w:sz w:val="20"/>
          <w:szCs w:val="20"/>
        </w:rPr>
      </w:pPr>
    </w:p>
    <w:p w14:paraId="2B22ADA3" w14:textId="77777777" w:rsidR="00704291" w:rsidRDefault="007D60CC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4.Очікувана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Статтею 5 Закону України «Про природні монополії» від 20.04.2000 № 1682-III передбачено, що сферами діяльності суб'єктів природних монополій є діяльність суб'єктів природних монополій у </w:t>
      </w:r>
      <w:r>
        <w:rPr>
          <w:rFonts w:ascii="Times New Roman" w:hAnsi="Times New Roman"/>
          <w:sz w:val="20"/>
          <w:szCs w:val="20"/>
        </w:rPr>
        <w:t>сфері розподілу електричної енергії (передачі електричної енергії місц</w:t>
      </w:r>
      <w:r>
        <w:rPr>
          <w:rFonts w:ascii="Times New Roman" w:hAnsi="Times New Roman"/>
          <w:sz w:val="20"/>
          <w:szCs w:val="20"/>
        </w:rPr>
        <w:t>евими (локальними) електромережами;</w:t>
      </w:r>
    </w:p>
    <w:p w14:paraId="6C6C03CE" w14:textId="77777777" w:rsidR="00704291" w:rsidRDefault="00704291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14:paraId="06DADB84" w14:textId="77777777" w:rsidR="00704291" w:rsidRDefault="007D60CC">
      <w:pPr>
        <w:spacing w:after="0" w:line="240" w:lineRule="auto"/>
        <w:ind w:left="-426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>
        <w:rPr>
          <w:rFonts w:ascii="Times New Roman" w:eastAsia="Times New Roman" w:hAnsi="Times New Roman"/>
          <w:b/>
          <w:i/>
          <w:sz w:val="20"/>
          <w:szCs w:val="20"/>
        </w:rPr>
        <w:t>зведеного переліку суб’єктів природних монополій станом на 30.11.2024 року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</w:rPr>
        <w:t>ПУБЛІЧНЕ АКЦІОНЕРНЕ ТОВАРИСТВО  "ЧЕРКАСИОБЛЕНЕРГО"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 xml:space="preserve"> (№ з/п 46) </w:t>
      </w:r>
      <w:r>
        <w:rPr>
          <w:rFonts w:ascii="Times New Roman" w:eastAsia="Times New Roman" w:hAnsi="Times New Roman"/>
          <w:sz w:val="20"/>
          <w:szCs w:val="20"/>
        </w:rPr>
        <w:t xml:space="preserve">має статус суб'єкта природних монополій у сфері </w:t>
      </w:r>
      <w:r>
        <w:rPr>
          <w:rFonts w:ascii="Times New Roman" w:hAnsi="Times New Roman"/>
          <w:sz w:val="20"/>
          <w:szCs w:val="20"/>
        </w:rPr>
        <w:t>розподілу електричн</w:t>
      </w:r>
      <w:r>
        <w:rPr>
          <w:rFonts w:ascii="Times New Roman" w:hAnsi="Times New Roman"/>
          <w:sz w:val="20"/>
          <w:szCs w:val="20"/>
        </w:rPr>
        <w:t>ої енергії (передачі електричної енергії місцевими (локальними) електромережами;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Тарифи на послуги суб'єктам природних монополій встановлюються рішеннями Національної комісії, що здійснює державне регулювання у сферах енергетики та комунальних послуг (НКРЕ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КП), відповідно до постанови НКРЕКП від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21.12.2022 № 1812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«Про встановлення тарифів на послуги з розподілу  електричної енергії  </w:t>
      </w:r>
      <w:r>
        <w:rPr>
          <w:rFonts w:ascii="Times New Roman" w:hAnsi="Times New Roman"/>
          <w:iCs/>
          <w:sz w:val="20"/>
          <w:szCs w:val="20"/>
        </w:rPr>
        <w:t>ПУБЛІЧНЕ АКЦІОНЕРНЕ ТОВАРИСТВО  "ЧЕРКАСИОБЛЕНЕРГО".</w:t>
      </w:r>
    </w:p>
    <w:p w14:paraId="15241D2A" w14:textId="77777777" w:rsidR="00704291" w:rsidRDefault="007D60CC">
      <w:pPr>
        <w:spacing w:before="280" w:after="280"/>
        <w:ind w:left="-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Очікувана вартість предмета закупівлі становить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1 419 342,0</w:t>
      </w:r>
      <w:r>
        <w:rPr>
          <w:rFonts w:ascii="Times New Roman" w:hAnsi="Times New Roman"/>
          <w:i/>
          <w:sz w:val="20"/>
          <w:szCs w:val="20"/>
        </w:rPr>
        <w:t>0 грн (</w:t>
      </w:r>
      <w:r>
        <w:rPr>
          <w:rFonts w:ascii="Times New Roman" w:hAnsi="Times New Roman"/>
          <w:i/>
          <w:sz w:val="20"/>
          <w:szCs w:val="20"/>
        </w:rPr>
        <w:t>один мільйон чотириста дев'ятнадцять тисяч триста сорок дві   грн 00 коп) з ПДВ</w:t>
      </w:r>
    </w:p>
    <w:p w14:paraId="257F8F4E" w14:textId="0F025759" w:rsidR="00704291" w:rsidRDefault="007D60CC">
      <w:pPr>
        <w:pStyle w:val="ac"/>
        <w:spacing w:before="280" w:after="280"/>
        <w:ind w:left="-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Кількісною характеристикою предмета закупівлі є обсяг розподіленої електричної енергії. За одиницю виміру </w:t>
      </w:r>
      <w:proofErr w:type="gramStart"/>
      <w:r>
        <w:rPr>
          <w:sz w:val="20"/>
          <w:szCs w:val="20"/>
        </w:rPr>
        <w:t>послуги  приймається</w:t>
      </w:r>
      <w:proofErr w:type="gramEnd"/>
      <w:r>
        <w:rPr>
          <w:sz w:val="20"/>
          <w:szCs w:val="20"/>
        </w:rPr>
        <w:t xml:space="preserve"> кіловат-година, яка дорівнює кількості енергії, </w:t>
      </w:r>
      <w:r>
        <w:rPr>
          <w:sz w:val="20"/>
          <w:szCs w:val="20"/>
        </w:rPr>
        <w:t>розділеної по мережах оператора системи розподілу в один кіловат протягом однієї години. Обсяг, необхідний для забезпечення діяльності та власних потреб об’єкта замовника, враховуючи обсяги розподіленої / спожитої електричної енергії попереднього календарн</w:t>
      </w:r>
      <w:r>
        <w:rPr>
          <w:sz w:val="20"/>
          <w:szCs w:val="20"/>
        </w:rPr>
        <w:t xml:space="preserve">ого року, </w:t>
      </w:r>
      <w:proofErr w:type="gramStart"/>
      <w:r>
        <w:rPr>
          <w:sz w:val="20"/>
          <w:szCs w:val="20"/>
        </w:rPr>
        <w:t xml:space="preserve">становить  </w:t>
      </w:r>
      <w:r>
        <w:rPr>
          <w:b/>
          <w:sz w:val="20"/>
          <w:szCs w:val="20"/>
          <w:lang w:val="uk-UA"/>
        </w:rPr>
        <w:t>6</w:t>
      </w:r>
      <w:r>
        <w:rPr>
          <w:b/>
          <w:sz w:val="20"/>
          <w:szCs w:val="20"/>
        </w:rPr>
        <w:t>00</w:t>
      </w:r>
      <w:proofErr w:type="gramEnd"/>
      <w:r>
        <w:rPr>
          <w:b/>
          <w:sz w:val="20"/>
          <w:szCs w:val="20"/>
        </w:rPr>
        <w:t> 000  кВт</w:t>
      </w:r>
      <w:r>
        <w:rPr>
          <w:sz w:val="20"/>
          <w:szCs w:val="20"/>
        </w:rPr>
        <w:t>. год на 202</w:t>
      </w:r>
      <w:r>
        <w:rPr>
          <w:sz w:val="20"/>
          <w:szCs w:val="20"/>
          <w:lang w:val="uk-UA"/>
        </w:rPr>
        <w:t>5</w:t>
      </w:r>
      <w:r>
        <w:rPr>
          <w:sz w:val="20"/>
          <w:szCs w:val="20"/>
        </w:rPr>
        <w:t xml:space="preserve"> р.</w:t>
      </w:r>
    </w:p>
    <w:p w14:paraId="29A95BE9" w14:textId="77777777" w:rsidR="00704291" w:rsidRDefault="007D60C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Обґрунтування якісних характеристик предмета закупівлі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: </w:t>
      </w:r>
    </w:p>
    <w:p w14:paraId="6137B270" w14:textId="77777777" w:rsidR="00704291" w:rsidRDefault="007D60C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Пунктом </w:t>
      </w:r>
      <w:bookmarkStart w:id="0" w:name="bookmark=id.gjdgxs"/>
      <w:bookmarkEnd w:id="0"/>
      <w:r>
        <w:rPr>
          <w:rFonts w:ascii="Times New Roman" w:eastAsia="Times New Roman" w:hAnsi="Times New Roman"/>
          <w:color w:val="000000"/>
          <w:sz w:val="20"/>
          <w:szCs w:val="20"/>
        </w:rPr>
        <w:t>78 статті 1 Закону визначено, що розподіл електричної енергії — транспортування електричної енергії від електроустановок виробників електричн</w:t>
      </w:r>
      <w:r>
        <w:rPr>
          <w:rFonts w:ascii="Times New Roman" w:eastAsia="Times New Roman" w:hAnsi="Times New Roman"/>
          <w:color w:val="000000"/>
          <w:sz w:val="20"/>
          <w:szCs w:val="20"/>
        </w:rPr>
        <w:t>ої енергії або електроустановок оператора системи передачі мережами оператора системи розподілу, крім постачання електричної енергії. Статтею 45 Закону передбачено, що розподіл електричної енергії здійснюється оператором системи розподілу. Діяльність з роз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поділу електричної енергії підлягає ліцензуванню відповідно до законодавства.</w:t>
      </w:r>
      <w:bookmarkStart w:id="1" w:name="bookmark=id.30j0zll"/>
      <w:bookmarkEnd w:id="1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Оператор системи розподілу надає послуги з розподілу електричної енергії на недискримінаційних засадах відповідно до цього Закону, КСР та інших нормативно-правових актів, що регу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люють функціонування ринку електричної енергії. </w:t>
      </w:r>
      <w:bookmarkStart w:id="2" w:name="bookmark=id.1fob9te"/>
      <w:bookmarkEnd w:id="2"/>
      <w:r>
        <w:rPr>
          <w:rFonts w:ascii="Times New Roman" w:eastAsia="Times New Roman" w:hAnsi="Times New Roman"/>
          <w:color w:val="000000"/>
          <w:sz w:val="20"/>
          <w:szCs w:val="20"/>
        </w:rPr>
        <w:t>Підтвердженням належності провадження господарської діяльності з розподілу електричної енергії є відомості, розміщені на офіційному вебсайті НКРЕКП у розділі: Електрична енергія  /  Ліцензування  /  Реєстри л</w:t>
      </w:r>
      <w:r>
        <w:rPr>
          <w:rFonts w:ascii="Times New Roman" w:eastAsia="Times New Roman" w:hAnsi="Times New Roman"/>
          <w:color w:val="000000"/>
          <w:sz w:val="20"/>
          <w:szCs w:val="20"/>
        </w:rPr>
        <w:t>іцензіатів (вид діяльності — розподіл електричної енергії).</w:t>
      </w:r>
    </w:p>
    <w:p w14:paraId="30C566C1" w14:textId="77777777" w:rsidR="00704291" w:rsidRDefault="007D60C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Ліцензійними умовами провадження господарської діяльності з розподілу електричної енергії (постанова НКРЕКП від 27.12.2017 № 1470) визначено, що місце провадження господарської діяльності — терито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рія (або </w:t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частина території) адміністративно-територіальної одиниці, де розташована система розподілу електричної енергії, що перебуває у власності ліцензіата та до якої приєднані електричні мережі споживачів, які живляться від мереж ліцензіата.</w:t>
      </w:r>
    </w:p>
    <w:p w14:paraId="2003BB74" w14:textId="77777777" w:rsidR="00704291" w:rsidRDefault="007D60C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ОСР повинен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дотримуватися затверджених Регулятором показників якості електропостачання, які характеризують рівень надійності (безперервності) електропостачання, комерційної якості надання послуг з розподілу електричної енергії та якості електричної енергії.</w:t>
      </w:r>
    </w:p>
    <w:p w14:paraId="4A3B139A" w14:textId="77777777" w:rsidR="00704291" w:rsidRDefault="007D60CC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До якісни</w:t>
      </w:r>
      <w:r>
        <w:rPr>
          <w:rFonts w:ascii="Times New Roman" w:eastAsia="Times New Roman" w:hAnsi="Times New Roman"/>
          <w:color w:val="000000"/>
          <w:sz w:val="20"/>
          <w:szCs w:val="20"/>
        </w:rPr>
        <w:t>х характеристик предмета закупівлі, зокрема, належать:</w:t>
      </w:r>
    </w:p>
    <w:p w14:paraId="576BD934" w14:textId="77777777" w:rsidR="00704291" w:rsidRDefault="007D60CC">
      <w:pPr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надійність (безперервність) електропостачання;</w:t>
      </w:r>
    </w:p>
    <w:p w14:paraId="5F788D0F" w14:textId="77777777" w:rsidR="00704291" w:rsidRDefault="007D60CC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параметри якості електричної енергії, що розподіляється оператором системи розподілу;</w:t>
      </w:r>
    </w:p>
    <w:p w14:paraId="2EC86B3E" w14:textId="77777777" w:rsidR="00704291" w:rsidRDefault="007D60CC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показники комерційної якості послуг оператора системи </w:t>
      </w:r>
      <w:r>
        <w:rPr>
          <w:rFonts w:ascii="Times New Roman" w:eastAsia="Times New Roman" w:hAnsi="Times New Roman"/>
          <w:color w:val="000000"/>
          <w:sz w:val="20"/>
          <w:szCs w:val="20"/>
        </w:rPr>
        <w:t>розподілу.</w:t>
      </w:r>
    </w:p>
    <w:p w14:paraId="59C6E77D" w14:textId="77777777" w:rsidR="00704291" w:rsidRDefault="007D60CC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Згідно з пунктом 11.4.2 КСР надійність (безперервність) електропостачання характеризується кількістю, тривалістю перерв в електропостачанні та обсягом недовідпущеної електричної енергії.</w:t>
      </w:r>
    </w:p>
    <w:p w14:paraId="3EAB8891" w14:textId="77777777" w:rsidR="00704291" w:rsidRDefault="007D60CC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Надійність (безперервність) </w:t>
      </w:r>
      <w:r>
        <w:rPr>
          <w:rFonts w:ascii="Times New Roman" w:eastAsia="Times New Roman" w:hAnsi="Times New Roman"/>
          <w:color w:val="000000"/>
          <w:sz w:val="20"/>
          <w:szCs w:val="20"/>
        </w:rPr>
        <w:t>електропостачання споживача характеризується такими показниками:</w:t>
      </w:r>
    </w:p>
    <w:p w14:paraId="55A2FA91" w14:textId="77777777" w:rsidR="00704291" w:rsidRDefault="007D60CC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3" w:name="bookmark=id.2et92p0"/>
      <w:bookmarkEnd w:id="3"/>
      <w:r>
        <w:rPr>
          <w:rFonts w:ascii="Times New Roman" w:eastAsia="Times New Roman" w:hAnsi="Times New Roman"/>
          <w:color w:val="000000"/>
          <w:sz w:val="20"/>
          <w:szCs w:val="20"/>
        </w:rPr>
        <w:t>індекс середньої тривалості довгих перерв в електропостачанні в системі (SAIDI) розраховується як відношення сумарної тривалості довгих перерв в електропостачанні в точках комерційного обліку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електричної енергії, у яких було припинене електропостачання за звітний період, до загальної кількості точок комерційного обліку електричної енергії;</w:t>
      </w:r>
    </w:p>
    <w:p w14:paraId="687368FC" w14:textId="77777777" w:rsidR="00704291" w:rsidRDefault="007D60CC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індекс середньої частоти довгих перерв в електропостачанні в системі (SAIFI) розраховується як відношення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сумарної кількості відключених точок комерційного обліку електричної енергії, у яких було припинене електропостачання внаслідок усіх довгих перерв в електропостачанні протягом звітного періоду, до загальної кількості точок комерційного обліку електричної </w:t>
      </w:r>
      <w:r>
        <w:rPr>
          <w:rFonts w:ascii="Times New Roman" w:eastAsia="Times New Roman" w:hAnsi="Times New Roman"/>
          <w:color w:val="000000"/>
          <w:sz w:val="20"/>
          <w:szCs w:val="20"/>
        </w:rPr>
        <w:t>енергії;</w:t>
      </w:r>
    </w:p>
    <w:p w14:paraId="2E8F835C" w14:textId="77777777" w:rsidR="00704291" w:rsidRDefault="007D60CC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індекс середньої частоти коротких перерв в електропостачанні в системі (MAIFI)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</w:t>
      </w:r>
      <w:r>
        <w:rPr>
          <w:rFonts w:ascii="Times New Roman" w:eastAsia="Times New Roman" w:hAnsi="Times New Roman"/>
          <w:color w:val="000000"/>
          <w:sz w:val="20"/>
          <w:szCs w:val="20"/>
        </w:rPr>
        <w:t>йного обліку електричної енергії;</w:t>
      </w:r>
    </w:p>
    <w:p w14:paraId="52AF24E8" w14:textId="77777777" w:rsidR="00704291" w:rsidRDefault="007D60CC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розрахунковий обсяг недовідпущеної електроенергії (ENS) розраховується як сума добутків кількості точок комерційного обліку електричної енергії, у яких було припинене електропостачання, на тривалість довгої перерви та на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ереднє споживання електроенергії на відповідному рівні напруги.</w:t>
      </w:r>
    </w:p>
    <w:p w14:paraId="2427B2DF" w14:textId="77777777" w:rsidR="00704291" w:rsidRDefault="007D60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Якість електричної енергії забезпечуєть</w:t>
      </w:r>
      <w:r>
        <w:rPr>
          <w:rFonts w:ascii="Times New Roman" w:eastAsia="Times New Roman" w:hAnsi="Times New Roman"/>
          <w:color w:val="000000"/>
          <w:sz w:val="20"/>
          <w:szCs w:val="20"/>
        </w:rPr>
        <w:t>ся ОСР під час надання послуги з розподілу електричної енергії відповідно до положень пункту 11.4.6 глави 11.4 розділу XI КСР, параметри якості електроенергії в точках приєднання споживачів в нормальних умовах експлуатації мають відповідати параметрам, виз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наченим у ДСТУ EN 50160:2014 «Характеристики напруги електропостачання в електричних мережах загальної призначеності» (далі — ДСТУ EN 50160:2014).</w:t>
      </w:r>
    </w:p>
    <w:p w14:paraId="2205DFA4" w14:textId="77777777" w:rsidR="00704291" w:rsidRDefault="0070429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6616D1F" w14:textId="77777777" w:rsidR="00704291" w:rsidRDefault="007D60C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Основні показники якості електричної енергії визначені у пунктах 11.4.7–11.4.12 глави 11.4 розділу XІ КСР. </w:t>
      </w:r>
    </w:p>
    <w:p w14:paraId="72A4103B" w14:textId="77777777" w:rsidR="00704291" w:rsidRDefault="007D60CC">
      <w:pPr>
        <w:shd w:val="clear" w:color="auto" w:fill="FFFFFF"/>
        <w:tabs>
          <w:tab w:val="left" w:pos="392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</w:p>
    <w:p w14:paraId="1B0F9CB3" w14:textId="77777777" w:rsidR="00704291" w:rsidRDefault="007042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704291">
      <w:pgSz w:w="11906" w:h="16838"/>
      <w:pgMar w:top="993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</w:font>
  <w:font w:name="Myriad Pro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443"/>
    <w:multiLevelType w:val="multilevel"/>
    <w:tmpl w:val="20B87A54"/>
    <w:lvl w:ilvl="0">
      <w:start w:val="2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AE02F56"/>
    <w:multiLevelType w:val="multilevel"/>
    <w:tmpl w:val="82BCDE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5601E1"/>
    <w:multiLevelType w:val="multilevel"/>
    <w:tmpl w:val="7FA6A3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7B7159"/>
    <w:multiLevelType w:val="multilevel"/>
    <w:tmpl w:val="540EF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1D7C2A"/>
    <w:multiLevelType w:val="multilevel"/>
    <w:tmpl w:val="2FD68082"/>
    <w:lvl w:ilvl="0">
      <w:start w:val="2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74077E6C"/>
    <w:multiLevelType w:val="multilevel"/>
    <w:tmpl w:val="AEC2D5E4"/>
    <w:lvl w:ilvl="0">
      <w:start w:val="2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91"/>
    <w:rsid w:val="00704291"/>
    <w:rsid w:val="007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FEB1"/>
  <w15:docId w15:val="{D5F46E9A-4B38-4700-8552-72EAAFF4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30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401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Normal (Web)"/>
    <w:basedOn w:val="a"/>
    <w:uiPriority w:val="99"/>
    <w:semiHidden/>
    <w:unhideWhenUsed/>
    <w:qFormat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qFormat/>
    <w:rsid w:val="00E070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hiftAlt">
    <w:name w:val="Додаток_основной_текст (Додаток___Shift+Alt)"/>
    <w:uiPriority w:val="2"/>
    <w:qFormat/>
    <w:rsid w:val="005F617E"/>
    <w:pPr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eastAsia="en-US"/>
    </w:rPr>
  </w:style>
  <w:style w:type="paragraph" w:styleId="ac">
    <w:name w:val="List Paragraph"/>
    <w:basedOn w:val="a"/>
    <w:uiPriority w:val="34"/>
    <w:qFormat/>
    <w:rsid w:val="005F61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andard">
    <w:name w:val="Standard"/>
    <w:qFormat/>
    <w:rsid w:val="00D17E6F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en-US" w:eastAsia="zh-CN" w:bidi="hi-IN"/>
    </w:rPr>
  </w:style>
  <w:style w:type="numbering" w:customStyle="1" w:styleId="ad">
    <w:name w:val="Без маркерів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4617</Words>
  <Characters>2633</Characters>
  <Application>Microsoft Office Word</Application>
  <DocSecurity>0</DocSecurity>
  <Lines>21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Dovhaia</dc:creator>
  <dc:description/>
  <cp:lastModifiedBy>Фінансист 2</cp:lastModifiedBy>
  <cp:revision>16</cp:revision>
  <cp:lastPrinted>2023-11-01T08:28:00Z</cp:lastPrinted>
  <dcterms:created xsi:type="dcterms:W3CDTF">2023-03-08T08:26:00Z</dcterms:created>
  <dcterms:modified xsi:type="dcterms:W3CDTF">2024-12-30T11:19:00Z</dcterms:modified>
  <dc:language>uk-UA</dc:language>
</cp:coreProperties>
</file>